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ACD78" w14:textId="1BE4AF65" w:rsidR="00711438" w:rsidRDefault="00711438" w:rsidP="00711438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  <w:t xml:space="preserve">Михаил Владимирович Карпов,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  <w:t>канд.ист</w:t>
      </w:r>
      <w:proofErr w:type="gramEnd"/>
      <w:r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  <w:t>.наук</w:t>
      </w:r>
      <w:proofErr w:type="spellEnd"/>
      <w:r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  <w:t>., доцент Школы Востоковедения ф-тета Мировой экономики и мировой политики  НИУ ВШЭ</w:t>
      </w:r>
    </w:p>
    <w:p w14:paraId="3BD7262E" w14:textId="77777777" w:rsidR="00711438" w:rsidRDefault="00711438" w:rsidP="00711438">
      <w:pPr>
        <w:spacing w:line="240" w:lineRule="auto"/>
        <w:ind w:right="280" w:firstLine="708"/>
        <w:contextualSpacing/>
        <w:jc w:val="right"/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</w:pPr>
    </w:p>
    <w:p w14:paraId="02D0D87C" w14:textId="77777777" w:rsidR="00711438" w:rsidRDefault="00711438" w:rsidP="00931FF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</w:pPr>
    </w:p>
    <w:p w14:paraId="27BC6510" w14:textId="77777777" w:rsidR="00711438" w:rsidRDefault="00711438" w:rsidP="00931FF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color w:val="262626"/>
          <w:sz w:val="28"/>
          <w:szCs w:val="28"/>
          <w:shd w:val="clear" w:color="auto" w:fill="FFFFFF"/>
        </w:rPr>
      </w:pPr>
    </w:p>
    <w:p w14:paraId="4AB6B9C4" w14:textId="210DC146" w:rsidR="00931FF0" w:rsidRPr="00711438" w:rsidRDefault="00931FF0" w:rsidP="00931FF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1438">
        <w:rPr>
          <w:rFonts w:ascii="Times New Roman" w:hAnsi="Times New Roman" w:cs="Times New Roman"/>
          <w:b/>
          <w:bCs/>
          <w:color w:val="262626"/>
          <w:sz w:val="32"/>
          <w:szCs w:val="32"/>
          <w:shd w:val="clear" w:color="auto" w:fill="FFFFFF"/>
        </w:rPr>
        <w:t>Механизм макро-регулирования в КНР эпохи реформ как субститут директивного плана.</w:t>
      </w:r>
    </w:p>
    <w:p w14:paraId="564BDDA1" w14:textId="77777777" w:rsidR="00931FF0" w:rsidRDefault="00931FF0" w:rsidP="001D1A7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34D2F6" w14:textId="77777777" w:rsidR="00931FF0" w:rsidRDefault="00931FF0" w:rsidP="001D1A7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815197" w14:textId="40E6E83B" w:rsidR="00931FF0" w:rsidRDefault="00F70B83" w:rsidP="001D1A7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тезис выступления состоит в том, что отказ де-юре от централизованного директивного планирования в экономике КНР в конце 1990-х годов, вопреки </w:t>
      </w:r>
      <w:r w:rsidR="00172559"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>
        <w:rPr>
          <w:rFonts w:ascii="Times New Roman" w:hAnsi="Times New Roman" w:cs="Times New Roman"/>
          <w:sz w:val="24"/>
          <w:szCs w:val="24"/>
        </w:rPr>
        <w:t xml:space="preserve">широко распространенным в мировом китаеведении представлениям (С.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Хайльманн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 д.), не привел де-факто к изменению ее планово-государственной политэкономической природы. Субститутом директивного государственного планирования в народно-хозяйственном комплексе КНР на протяжении последней четверти века выступает весьма своеобразный инструментарий макро-экономического контроля и регулирования, органически встроенный в политические институты партийного государства ленинского типа, партийно-государственную финансовую систему и оперирующий в условиях специфических механизмов ценообразования, включая банковскую процентную ставку. </w:t>
      </w:r>
    </w:p>
    <w:p w14:paraId="31BCDDFB" w14:textId="7567E676" w:rsidR="00F661EC" w:rsidRDefault="00F661EC" w:rsidP="001D1A7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Партийное государство по-прежнему выступает в качестве идейно-политического, силового и финансового монополиста, а также – по определению – кредитора последней инстанции. </w:t>
      </w:r>
    </w:p>
    <w:p w14:paraId="4F0BCFA6" w14:textId="64F90339" w:rsidR="0056033C" w:rsidRDefault="00172559" w:rsidP="001D1A7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 ценообразования – как я его называю и описываю в своих работах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многоколейный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>», по сути</w:t>
      </w:r>
      <w:r w:rsidR="001C3D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договорный под патронатом партийного государства, где каждая «колея» есть сумма условий, на которых данный социально-экономический субъект получает право хозяйственной деятельности. При этом эта сумма условий выступает как договор между социально-экономическим субъектом (клиентом) и партийным государством (патроном). Договор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монетизирован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его цена изначально привязана к разнице между гипотетическими плановыми и «вне-плановыми» ценами</w:t>
      </w:r>
      <w:r w:rsidR="0071025D">
        <w:rPr>
          <w:rFonts w:ascii="Times New Roman" w:hAnsi="Times New Roman" w:cs="Times New Roman"/>
          <w:sz w:val="24"/>
          <w:szCs w:val="24"/>
        </w:rPr>
        <w:t xml:space="preserve"> на сырье и готовую продукцию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B0F76B" w14:textId="77777777" w:rsidR="00103605" w:rsidRDefault="00172559" w:rsidP="001D1A7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же касается и механизмов формирования кредитной ставки. Теневой («квази-частный») банкинг работает преимущественно также с партийно-государственными деньгами (активами), которые предоставляются ему партийно-государственными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госбанками по легальным, полулегальным и нелегальным каналам. Разница в процентной ставке между госбанками </w:t>
      </w:r>
      <w:r w:rsidR="0056033C">
        <w:rPr>
          <w:rFonts w:ascii="Times New Roman" w:hAnsi="Times New Roman" w:cs="Times New Roman"/>
          <w:sz w:val="24"/>
          <w:szCs w:val="24"/>
        </w:rPr>
        <w:t>(5%)</w:t>
      </w:r>
      <w:r w:rsidR="00B90181">
        <w:rPr>
          <w:rFonts w:ascii="Times New Roman" w:hAnsi="Times New Roman" w:cs="Times New Roman"/>
          <w:sz w:val="24"/>
          <w:szCs w:val="24"/>
        </w:rPr>
        <w:t>, де-факто регулируемой государством,</w:t>
      </w:r>
      <w:r w:rsidR="00560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теневым банкингом </w:t>
      </w:r>
      <w:r w:rsidR="0056033C">
        <w:rPr>
          <w:rFonts w:ascii="Times New Roman" w:hAnsi="Times New Roman" w:cs="Times New Roman"/>
          <w:sz w:val="24"/>
          <w:szCs w:val="24"/>
        </w:rPr>
        <w:t>(до 30%)</w:t>
      </w:r>
      <w:r w:rsidR="00B90181">
        <w:rPr>
          <w:rFonts w:ascii="Times New Roman" w:hAnsi="Times New Roman" w:cs="Times New Roman"/>
          <w:sz w:val="24"/>
          <w:szCs w:val="24"/>
        </w:rPr>
        <w:t>, де-факто государством не регулируемой,</w:t>
      </w:r>
      <w:r w:rsidR="005603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приватизируется </w:t>
      </w:r>
      <w:r w:rsidR="0056033C">
        <w:rPr>
          <w:rFonts w:ascii="Times New Roman" w:hAnsi="Times New Roman" w:cs="Times New Roman"/>
          <w:sz w:val="24"/>
          <w:szCs w:val="24"/>
        </w:rPr>
        <w:t xml:space="preserve">участниками сделки, то есть партийно-государственными и теневыми банкирами. </w:t>
      </w:r>
    </w:p>
    <w:p w14:paraId="2E014490" w14:textId="11BC8E6F" w:rsidR="00172559" w:rsidRDefault="0056033C" w:rsidP="001D1A7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реально располагаемых активов госбанков в решающей степени зависит от госбюджетного рефинансирования</w:t>
      </w:r>
      <w:r w:rsidR="000A3A08">
        <w:rPr>
          <w:rFonts w:ascii="Times New Roman" w:hAnsi="Times New Roman" w:cs="Times New Roman"/>
          <w:sz w:val="24"/>
          <w:szCs w:val="24"/>
        </w:rPr>
        <w:t xml:space="preserve"> (предоставления средств по линии ЦБ)</w:t>
      </w:r>
      <w:r>
        <w:rPr>
          <w:rFonts w:ascii="Times New Roman" w:hAnsi="Times New Roman" w:cs="Times New Roman"/>
          <w:sz w:val="24"/>
          <w:szCs w:val="24"/>
        </w:rPr>
        <w:t>, разницы между (высокими) ставками по кредиту и (низкими) по депозиту</w:t>
      </w:r>
      <w:r w:rsidR="00B90181">
        <w:rPr>
          <w:rFonts w:ascii="Times New Roman" w:hAnsi="Times New Roman" w:cs="Times New Roman"/>
          <w:sz w:val="24"/>
          <w:szCs w:val="24"/>
        </w:rPr>
        <w:t xml:space="preserve"> (также де-факто регулируемыми государством)</w:t>
      </w:r>
      <w:r>
        <w:rPr>
          <w:rFonts w:ascii="Times New Roman" w:hAnsi="Times New Roman" w:cs="Times New Roman"/>
          <w:sz w:val="24"/>
          <w:szCs w:val="24"/>
        </w:rPr>
        <w:t xml:space="preserve">, а также от доходов, формируемых в ходе сделок с теневым банкингом. </w:t>
      </w:r>
    </w:p>
    <w:p w14:paraId="7A97018C" w14:textId="7BE19E07" w:rsidR="00B90181" w:rsidRDefault="00B90181" w:rsidP="001D1A7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Юань остается неконвертируемым по счету движения капиталов и квотировано конвертируемым по счету текущих операций. Принудительная скупка государством (ЦБ) валюты у госбанков по регулируемому курсу выступает как дополнительный и важный канал рефинансирования партийно-государственных банковских активов</w:t>
      </w:r>
      <w:r w:rsidR="00055426">
        <w:rPr>
          <w:rFonts w:ascii="Times New Roman" w:hAnsi="Times New Roman" w:cs="Times New Roman"/>
          <w:sz w:val="24"/>
          <w:szCs w:val="24"/>
        </w:rPr>
        <w:t>, по сути дела, за счет государственного бюджета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0F7513" w14:textId="77777777" w:rsidR="00B9664A" w:rsidRDefault="00966E3C" w:rsidP="001D1A7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конструкция в полной мере воспроизводит известные из истории классического директивного планирования практики «мягкого бюджетного ограничения», питающие фор</w:t>
      </w:r>
      <w:r w:rsidR="00B453E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ированный инвестиционно-затратный экономический рост</w:t>
      </w:r>
      <w:r w:rsidR="00B453EF">
        <w:rPr>
          <w:rFonts w:ascii="Times New Roman" w:hAnsi="Times New Roman" w:cs="Times New Roman"/>
          <w:sz w:val="24"/>
          <w:szCs w:val="24"/>
        </w:rPr>
        <w:t xml:space="preserve">, приватизацию прибылей и национализацию убытков. </w:t>
      </w:r>
    </w:p>
    <w:p w14:paraId="03748431" w14:textId="0020974B" w:rsidR="00966E3C" w:rsidRDefault="00B453EF" w:rsidP="001D1A7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 накопления в экономике КНР на протяжении всех трех десятилетий реформ в среднем колебалась в районе 50% к ВВП. </w:t>
      </w:r>
      <w:r w:rsidR="00B9664A">
        <w:rPr>
          <w:rFonts w:ascii="Times New Roman" w:hAnsi="Times New Roman" w:cs="Times New Roman"/>
          <w:sz w:val="24"/>
          <w:szCs w:val="24"/>
        </w:rPr>
        <w:t xml:space="preserve">Это существенно выше нормы накопления во всех Восточно-Азиатских развивающихся экономиках в период их индустриализации. Доля потребления в КНР остается существенно ниже – по разным оценкам, от 25 до 40%, что также существенно ниже </w:t>
      </w:r>
      <w:r w:rsidR="00B12889">
        <w:rPr>
          <w:rFonts w:ascii="Times New Roman" w:hAnsi="Times New Roman" w:cs="Times New Roman"/>
          <w:sz w:val="24"/>
          <w:szCs w:val="24"/>
        </w:rPr>
        <w:t xml:space="preserve">динамики </w:t>
      </w:r>
      <w:r w:rsidR="00B9664A">
        <w:rPr>
          <w:rFonts w:ascii="Times New Roman" w:hAnsi="Times New Roman" w:cs="Times New Roman"/>
          <w:sz w:val="24"/>
          <w:szCs w:val="24"/>
        </w:rPr>
        <w:t xml:space="preserve">аналогичных показателей Восточно-Азиатских «авторитарных тигров» в 1950-1980е годы. </w:t>
      </w:r>
      <w:r w:rsidR="00151B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7801D" w14:textId="6ACE4FC4" w:rsidR="009313FE" w:rsidRDefault="00B453EF" w:rsidP="003E445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условиях постоянно воспроизводящихся жажды государственного инвестиционного допинга и общехозяйственного перегрева необходимы инструменты внутрисистемной интеграции и контроля. Здесь в игру вступают механизмы макро-регулирования с «китайской спецификой». На деле они смешивают макро</w:t>
      </w:r>
      <w:r w:rsidR="0013037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 микроэкономические сферы и в условиях </w:t>
      </w:r>
      <w:r w:rsidR="009560D2">
        <w:rPr>
          <w:rFonts w:ascii="Times New Roman" w:hAnsi="Times New Roman" w:cs="Times New Roman"/>
          <w:sz w:val="24"/>
          <w:szCs w:val="24"/>
        </w:rPr>
        <w:t xml:space="preserve">децентрализации и </w:t>
      </w:r>
      <w:r>
        <w:rPr>
          <w:rFonts w:ascii="Times New Roman" w:hAnsi="Times New Roman" w:cs="Times New Roman"/>
          <w:sz w:val="24"/>
          <w:szCs w:val="24"/>
        </w:rPr>
        <w:t>«рыночных реформ» выполняют функции</w:t>
      </w:r>
      <w:r w:rsidR="009313FE" w:rsidRPr="009313FE">
        <w:rPr>
          <w:rFonts w:ascii="Times New Roman" w:hAnsi="Times New Roman" w:cs="Times New Roman"/>
          <w:sz w:val="24"/>
          <w:szCs w:val="24"/>
        </w:rPr>
        <w:t xml:space="preserve"> </w:t>
      </w:r>
      <w:r w:rsidR="009313FE">
        <w:rPr>
          <w:rFonts w:ascii="Times New Roman" w:hAnsi="Times New Roman" w:cs="Times New Roman"/>
          <w:sz w:val="24"/>
          <w:szCs w:val="24"/>
        </w:rPr>
        <w:t>государственно-социалистического планирования, учета и контроля.</w:t>
      </w:r>
    </w:p>
    <w:p w14:paraId="7EF94D83" w14:textId="77777777" w:rsidR="00837D30" w:rsidRPr="00837D30" w:rsidRDefault="00837D30" w:rsidP="00837D30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37D30">
        <w:rPr>
          <w:rFonts w:ascii="Times New Roman" w:hAnsi="Times New Roman" w:cs="Times New Roman"/>
          <w:sz w:val="24"/>
          <w:szCs w:val="24"/>
        </w:rPr>
        <w:t xml:space="preserve">Институциональная преемственность действительно поучительна. Высшим органом макроэкономического регулирования в Китайской Народной Республике является Национальная комиссия по развитию и реформам (НКРР), созданная в 2003 году. NDRC является прямым наследником Государственной комиссии по планированию развития </w:t>
      </w:r>
      <w:r w:rsidRPr="00837D30">
        <w:rPr>
          <w:rFonts w:ascii="Times New Roman" w:hAnsi="Times New Roman" w:cs="Times New Roman"/>
          <w:sz w:val="24"/>
          <w:szCs w:val="24"/>
        </w:rPr>
        <w:lastRenderedPageBreak/>
        <w:t>(SDPC), которая до 1998 года называлась просто Государственной комиссией по планированию (SPC).</w:t>
      </w:r>
    </w:p>
    <w:p w14:paraId="3D1F93D3" w14:textId="0DD33D2C" w:rsidR="00837D30" w:rsidRPr="00837D30" w:rsidRDefault="00837D30" w:rsidP="00837D3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D30">
        <w:rPr>
          <w:rFonts w:ascii="Times New Roman" w:hAnsi="Times New Roman" w:cs="Times New Roman"/>
          <w:sz w:val="24"/>
          <w:szCs w:val="24"/>
        </w:rPr>
        <w:t xml:space="preserve">По данным китайских источников, НДРК в настоящее время отвечает за регулирование нескольких десятков отраслей промышленности и тысяч единиц номенклатуры продукции. Он также выполняет львиную долю экономического лицензирования в стране. </w:t>
      </w:r>
    </w:p>
    <w:p w14:paraId="07D70E37" w14:textId="7BDE8AA3" w:rsidR="00837D30" w:rsidRDefault="00837D30" w:rsidP="00837D3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D30">
        <w:rPr>
          <w:rFonts w:ascii="Times New Roman" w:hAnsi="Times New Roman" w:cs="Times New Roman"/>
          <w:sz w:val="24"/>
          <w:szCs w:val="24"/>
        </w:rPr>
        <w:t>По мнению инсайдеров, существует три вида регулирования: “стимулирующее”, “ограничивающее” и “запрещающее”. Существует также четыре метода регулирования, используемых в рамках каждого типа. Во-первых, метод, основанный на “объемных параметрах”, используется, например, при введении требований банковского резервирования с целью поглощения избыточной ликвидности с рынка. Во – вторых, метод, основанный на “качественных оценках”, используется для регулирования кредитной активности- стимулирования ее в случае экономического “переохлаждения” и ограничения в случае “перегрева”. В-третьих, метод “корректировки отраслей промышленности”, подразумевающий как объемные, так и количественные “стимулы” или “ограничения” в данных отраслях финансового или реального сектора. Этот метод широко используется для снижения избыточных производственных мощностей, борьбы с пузырями на рынке недвижимости и “ненормативными сделками с землей”. В-четвертых, метод прямого командно-административного “вмешательства” в финансовую или производственную деятельность данных партийно-государственных органов, территорий, отраслей и конкретных предприятий.</w:t>
      </w:r>
    </w:p>
    <w:p w14:paraId="2F77E9E7" w14:textId="77777777" w:rsidR="00837D30" w:rsidRPr="00837D30" w:rsidRDefault="00837D30" w:rsidP="00837D3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D30">
        <w:rPr>
          <w:rFonts w:ascii="Times New Roman" w:hAnsi="Times New Roman" w:cs="Times New Roman"/>
          <w:sz w:val="24"/>
          <w:szCs w:val="24"/>
        </w:rPr>
        <w:t>По оценкам большинства китайских экспертов, если первый метод соответствует критериям “рыночной экономики”, то остальные три в основном противоречат ему, будучи, однако, оправданными переходным характером китайской экономики. Существует также глубокое, хотя и несколько преуменьшенное экспертное мнение о том, что в течение более чем трех десятилетий “реформ и открытости” именно административные или “прямые” методы макроэкономической корректировки были наиболее эффективными, что в конечном итоге и составило ядро метода работы НДРК.</w:t>
      </w:r>
    </w:p>
    <w:p w14:paraId="26550EAC" w14:textId="7F22B2E2" w:rsidR="00837D30" w:rsidRPr="00837D30" w:rsidRDefault="00837D30" w:rsidP="00837D3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D30">
        <w:rPr>
          <w:rFonts w:ascii="Times New Roman" w:hAnsi="Times New Roman" w:cs="Times New Roman"/>
          <w:sz w:val="24"/>
          <w:szCs w:val="24"/>
        </w:rPr>
        <w:t>Однако следует иметь в виду, что НДРК-это только вершина айсберга. Китайские экономические наблюдатели и официальные лица отмечают, что в общей сложности существует по меньшей мере десять регулирующих органов, пользующихся правом осуществлять макро</w:t>
      </w:r>
      <w:r w:rsidR="00647865">
        <w:rPr>
          <w:rFonts w:ascii="Times New Roman" w:hAnsi="Times New Roman" w:cs="Times New Roman"/>
          <w:sz w:val="24"/>
          <w:szCs w:val="24"/>
        </w:rPr>
        <w:t>-</w:t>
      </w:r>
      <w:r w:rsidRPr="00837D30">
        <w:rPr>
          <w:rFonts w:ascii="Times New Roman" w:hAnsi="Times New Roman" w:cs="Times New Roman"/>
          <w:sz w:val="24"/>
          <w:szCs w:val="24"/>
        </w:rPr>
        <w:t xml:space="preserve">регулирование путем “вмешательства в микроэкономический уровень". К ним относятся такие учреждения, как Народный банк Китая, выполняющий функции Центрального банка, Министерство финансов, Министерство торговли и др. – все </w:t>
      </w:r>
      <w:r w:rsidRPr="00837D30">
        <w:rPr>
          <w:rFonts w:ascii="Times New Roman" w:hAnsi="Times New Roman" w:cs="Times New Roman"/>
          <w:sz w:val="24"/>
          <w:szCs w:val="24"/>
        </w:rPr>
        <w:lastRenderedPageBreak/>
        <w:t>под непосредственным покровительством КПК и полностью пронизано номенклатурой КПК.</w:t>
      </w:r>
    </w:p>
    <w:p w14:paraId="2820A877" w14:textId="379BCC5E" w:rsidR="00837D30" w:rsidRPr="00837D30" w:rsidRDefault="00837D30" w:rsidP="00837D3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D30">
        <w:rPr>
          <w:rFonts w:ascii="Times New Roman" w:hAnsi="Times New Roman" w:cs="Times New Roman"/>
          <w:sz w:val="24"/>
          <w:szCs w:val="24"/>
        </w:rPr>
        <w:t>На самом деле, хотя “верхушк</w:t>
      </w:r>
      <w:r>
        <w:rPr>
          <w:rFonts w:ascii="Times New Roman" w:hAnsi="Times New Roman" w:cs="Times New Roman"/>
          <w:sz w:val="24"/>
          <w:szCs w:val="24"/>
        </w:rPr>
        <w:t>ой айсберга</w:t>
      </w:r>
      <w:r w:rsidRPr="00837D30">
        <w:rPr>
          <w:rFonts w:ascii="Times New Roman" w:hAnsi="Times New Roman" w:cs="Times New Roman"/>
          <w:sz w:val="24"/>
          <w:szCs w:val="24"/>
        </w:rPr>
        <w:t>”, несомненно, является НДРК, было бы более правильным описать институциональную структуру макроэкономического регулирования в Китае в настоящее время как довольно децентрализованную и разрозненную, хотя и иерархическую сеть партийно-государственных органов. Даже на уровне округов и поселков обычно существует несколько “комитетов” или “комиссий”, ответственных за “надзор”, “регулирование” и “корректировку” “процедур и практики местного рынка".</w:t>
      </w:r>
    </w:p>
    <w:p w14:paraId="23797E43" w14:textId="67BC939C" w:rsidR="00837D30" w:rsidRDefault="00837D30" w:rsidP="00837D3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7D30">
        <w:rPr>
          <w:rFonts w:ascii="Times New Roman" w:hAnsi="Times New Roman" w:cs="Times New Roman"/>
          <w:sz w:val="24"/>
          <w:szCs w:val="24"/>
        </w:rPr>
        <w:t xml:space="preserve">Критически настроенные китайские наблюдатели называют это “девятью драконами, контролирующими воды” и обоснованно заявляют, что “[...] если так много правительственных органов, используя свою различную оптику и исходя из своих собственных потребностей во имя макроэкономического регулирования, могут непосредственно вмешиваться в операции микроуровня и процесс принятия решений конкретными предприятиями, то качественное различие между рыночной системой и системой, основанной на плане, действительно становится нечетким [...] вопрос здесь не в том, является ли конкретное регулирование адекватным или нет, но как могут столь многочисленные органы, обладающие столь широким спектром регулирующих функций, просто избегать слишком большого вмешательства в экономическую жизнь на низовом уровне”.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837D30">
        <w:rPr>
          <w:rFonts w:ascii="Times New Roman" w:hAnsi="Times New Roman" w:cs="Times New Roman"/>
          <w:sz w:val="24"/>
          <w:szCs w:val="24"/>
        </w:rPr>
        <w:t>акая ситуация сама по себе создает дополнительную благодатную почву для “много</w:t>
      </w:r>
      <w:r>
        <w:rPr>
          <w:rFonts w:ascii="Times New Roman" w:hAnsi="Times New Roman" w:cs="Times New Roman"/>
          <w:sz w:val="24"/>
          <w:szCs w:val="24"/>
        </w:rPr>
        <w:t>-колейной</w:t>
      </w:r>
      <w:r w:rsidRPr="00837D30">
        <w:rPr>
          <w:rFonts w:ascii="Times New Roman" w:hAnsi="Times New Roman" w:cs="Times New Roman"/>
          <w:sz w:val="24"/>
          <w:szCs w:val="24"/>
        </w:rPr>
        <w:t>” сделки и увеличения морального риска.</w:t>
      </w:r>
    </w:p>
    <w:p w14:paraId="6471AD74" w14:textId="2A23CA79" w:rsidR="0028213D" w:rsidRDefault="001D1A75" w:rsidP="001D1A7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система не является «смешанной экономикой», так как само словосочетание «смешанная экономика» методологически лишено смысла, ибо не объясняет, что с чем «смешано» и в какой пропорции. Этот термин, по сути своей, восходит к советской «традиции» политической экономии, и в конкретных исторических и идейно-политических условиях </w:t>
      </w:r>
      <w:r w:rsidR="00B07A6C">
        <w:rPr>
          <w:rFonts w:ascii="Times New Roman" w:hAnsi="Times New Roman" w:cs="Times New Roman"/>
          <w:sz w:val="24"/>
          <w:szCs w:val="24"/>
        </w:rPr>
        <w:t xml:space="preserve">того времени </w:t>
      </w:r>
      <w:r>
        <w:rPr>
          <w:rFonts w:ascii="Times New Roman" w:hAnsi="Times New Roman" w:cs="Times New Roman"/>
          <w:sz w:val="24"/>
          <w:szCs w:val="24"/>
        </w:rPr>
        <w:t>был призван не столько объяснить суть явления, сколько оную затушевать.</w:t>
      </w:r>
    </w:p>
    <w:p w14:paraId="1758FB35" w14:textId="5B6D6A44" w:rsidR="001D1A75" w:rsidRDefault="001D1A75" w:rsidP="001D1A7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конструкция не является и «государственным капитализмом». С последним термином также не все гладко, так как им именуют очень различные общественно-экономические системы – от НЭПа в СССР через турецкий «Кемализм» вплоть до Тайваня и Южной Кореи в 1950-1980е годы. Тем не менее, этот термин определенно лучше, чем «смешанная экономика», так как включает слово «капитализм», имеющее методологически определяемое значение. </w:t>
      </w:r>
    </w:p>
    <w:p w14:paraId="0F92A499" w14:textId="108B5114" w:rsidR="001D1A75" w:rsidRDefault="001D1A75" w:rsidP="001D1A7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Если исходить из классического определения капитализма как общественно-экономической системы (</w:t>
      </w:r>
      <w:r w:rsidR="004B4A3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строя</w:t>
      </w:r>
      <w:r w:rsidR="004B4A3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B07A6C">
        <w:rPr>
          <w:rFonts w:ascii="Times New Roman" w:hAnsi="Times New Roman" w:cs="Times New Roman"/>
          <w:sz w:val="24"/>
          <w:szCs w:val="24"/>
        </w:rPr>
        <w:t xml:space="preserve">, при котором деньги принимают функцию «капитала», то политико-экономическая конструкция </w:t>
      </w:r>
      <w:r w:rsidR="002861C5">
        <w:rPr>
          <w:rFonts w:ascii="Times New Roman" w:hAnsi="Times New Roman" w:cs="Times New Roman"/>
          <w:sz w:val="24"/>
          <w:szCs w:val="24"/>
        </w:rPr>
        <w:t xml:space="preserve">современной </w:t>
      </w:r>
      <w:r w:rsidR="00B07A6C">
        <w:rPr>
          <w:rFonts w:ascii="Times New Roman" w:hAnsi="Times New Roman" w:cs="Times New Roman"/>
          <w:sz w:val="24"/>
          <w:szCs w:val="24"/>
        </w:rPr>
        <w:t xml:space="preserve">КНР определенно не является капиталистической. В ней деньги выступают прежде всего в качестве одновременно инструмента и конечной цели формирования сложной конструкции рентных отношений, которая </w:t>
      </w:r>
      <w:r w:rsidR="000A45D6">
        <w:rPr>
          <w:rFonts w:ascii="Times New Roman" w:hAnsi="Times New Roman" w:cs="Times New Roman"/>
          <w:sz w:val="24"/>
          <w:szCs w:val="24"/>
        </w:rPr>
        <w:t xml:space="preserve">функционирует внутри самого партийного государства ленинского типа. При этом деньги выступают также в качестве </w:t>
      </w:r>
      <w:r w:rsidR="00931FF0">
        <w:rPr>
          <w:rFonts w:ascii="Times New Roman" w:hAnsi="Times New Roman" w:cs="Times New Roman"/>
          <w:sz w:val="24"/>
          <w:szCs w:val="24"/>
        </w:rPr>
        <w:t xml:space="preserve">одного из </w:t>
      </w:r>
      <w:r w:rsidR="000A45D6">
        <w:rPr>
          <w:rFonts w:ascii="Times New Roman" w:hAnsi="Times New Roman" w:cs="Times New Roman"/>
          <w:sz w:val="24"/>
          <w:szCs w:val="24"/>
        </w:rPr>
        <w:t>инструмент</w:t>
      </w:r>
      <w:r w:rsidR="00931FF0">
        <w:rPr>
          <w:rFonts w:ascii="Times New Roman" w:hAnsi="Times New Roman" w:cs="Times New Roman"/>
          <w:sz w:val="24"/>
          <w:szCs w:val="24"/>
        </w:rPr>
        <w:t>ов</w:t>
      </w:r>
      <w:r w:rsidR="000A45D6">
        <w:rPr>
          <w:rFonts w:ascii="Times New Roman" w:hAnsi="Times New Roman" w:cs="Times New Roman"/>
          <w:sz w:val="24"/>
          <w:szCs w:val="24"/>
        </w:rPr>
        <w:t xml:space="preserve"> политики этого государства, направленной на </w:t>
      </w:r>
      <w:r w:rsidR="00931FF0">
        <w:rPr>
          <w:rFonts w:ascii="Times New Roman" w:hAnsi="Times New Roman" w:cs="Times New Roman"/>
          <w:sz w:val="24"/>
          <w:szCs w:val="24"/>
        </w:rPr>
        <w:t xml:space="preserve">интеграцию и </w:t>
      </w:r>
      <w:r w:rsidR="000A45D6">
        <w:rPr>
          <w:rFonts w:ascii="Times New Roman" w:hAnsi="Times New Roman" w:cs="Times New Roman"/>
          <w:sz w:val="24"/>
          <w:szCs w:val="24"/>
        </w:rPr>
        <w:t>поддержание внутреннего баланса данной конструкции рентных отношений. Эта политика</w:t>
      </w:r>
      <w:r w:rsidR="00F65E6F">
        <w:rPr>
          <w:rFonts w:ascii="Times New Roman" w:hAnsi="Times New Roman" w:cs="Times New Roman"/>
          <w:sz w:val="24"/>
          <w:szCs w:val="24"/>
        </w:rPr>
        <w:t xml:space="preserve">, не исключающая в принципе элементов «госкапитализма», </w:t>
      </w:r>
      <w:r w:rsidR="000A45D6">
        <w:rPr>
          <w:rFonts w:ascii="Times New Roman" w:hAnsi="Times New Roman" w:cs="Times New Roman"/>
          <w:sz w:val="24"/>
          <w:szCs w:val="24"/>
        </w:rPr>
        <w:t xml:space="preserve">по факту приводит не столько к развитию «капитализма», сколько к «окукливанию» рентной структуры. Это, кстати сказать, кардинально отличает ее от политики </w:t>
      </w:r>
      <w:r w:rsidR="0062721F">
        <w:rPr>
          <w:rFonts w:ascii="Times New Roman" w:hAnsi="Times New Roman" w:cs="Times New Roman"/>
          <w:sz w:val="24"/>
          <w:szCs w:val="24"/>
        </w:rPr>
        <w:t>действительно</w:t>
      </w:r>
      <w:r w:rsidR="000A45D6">
        <w:rPr>
          <w:rFonts w:ascii="Times New Roman" w:hAnsi="Times New Roman" w:cs="Times New Roman"/>
          <w:sz w:val="24"/>
          <w:szCs w:val="24"/>
        </w:rPr>
        <w:t xml:space="preserve"> «государственно-капиталистических» моделей (Турция, Тайвань, Южная Корея в соответствующие исторические периоды), которая в итоге приводила так или иначе к структурированию общественно-экономических систем «плюралистического капитализма». </w:t>
      </w:r>
    </w:p>
    <w:p w14:paraId="3BEF3F3C" w14:textId="5414F5AE" w:rsidR="002861C5" w:rsidRDefault="002861C5" w:rsidP="001D1A7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модель «</w:t>
      </w:r>
      <w:r w:rsidR="00B03DD3">
        <w:rPr>
          <w:rFonts w:ascii="Times New Roman" w:hAnsi="Times New Roman" w:cs="Times New Roman"/>
          <w:sz w:val="24"/>
          <w:szCs w:val="24"/>
        </w:rPr>
        <w:t xml:space="preserve">китайского </w:t>
      </w:r>
      <w:r>
        <w:rPr>
          <w:rFonts w:ascii="Times New Roman" w:hAnsi="Times New Roman" w:cs="Times New Roman"/>
          <w:sz w:val="24"/>
          <w:szCs w:val="24"/>
        </w:rPr>
        <w:t xml:space="preserve">рыночного социализма» выступает, с нашей точки зрения, одной из частей </w:t>
      </w:r>
      <w:r w:rsidR="004B4A39">
        <w:rPr>
          <w:rFonts w:ascii="Times New Roman" w:hAnsi="Times New Roman" w:cs="Times New Roman"/>
          <w:sz w:val="24"/>
          <w:szCs w:val="24"/>
        </w:rPr>
        <w:t xml:space="preserve">исторического </w:t>
      </w:r>
      <w:r>
        <w:rPr>
          <w:rFonts w:ascii="Times New Roman" w:hAnsi="Times New Roman" w:cs="Times New Roman"/>
          <w:sz w:val="24"/>
          <w:szCs w:val="24"/>
        </w:rPr>
        <w:t xml:space="preserve">континуума плановых экономик государственно-социалистического типа, для которых характерны известные структурно-динамические особенности и трансформационная специфика. </w:t>
      </w:r>
    </w:p>
    <w:p w14:paraId="2E9BD5A5" w14:textId="77777777" w:rsidR="001D1A75" w:rsidRPr="001D1A75" w:rsidRDefault="001D1A75" w:rsidP="001D1A7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D1A75" w:rsidRPr="001D1A7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9BDD0" w14:textId="77777777" w:rsidR="00B55E2C" w:rsidRDefault="00B55E2C" w:rsidP="00410BE0">
      <w:pPr>
        <w:spacing w:after="0" w:line="240" w:lineRule="auto"/>
      </w:pPr>
      <w:r>
        <w:separator/>
      </w:r>
    </w:p>
  </w:endnote>
  <w:endnote w:type="continuationSeparator" w:id="0">
    <w:p w14:paraId="374C2647" w14:textId="77777777" w:rsidR="00B55E2C" w:rsidRDefault="00B55E2C" w:rsidP="00410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8FC01" w14:textId="77777777" w:rsidR="00B55E2C" w:rsidRDefault="00B55E2C" w:rsidP="00410BE0">
      <w:pPr>
        <w:spacing w:after="0" w:line="240" w:lineRule="auto"/>
      </w:pPr>
      <w:r>
        <w:separator/>
      </w:r>
    </w:p>
  </w:footnote>
  <w:footnote w:type="continuationSeparator" w:id="0">
    <w:p w14:paraId="6A45DE11" w14:textId="77777777" w:rsidR="00B55E2C" w:rsidRDefault="00B55E2C" w:rsidP="00410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410BE0" w14:paraId="024BD189" w14:textId="77777777">
      <w:trPr>
        <w:trHeight w:val="720"/>
      </w:trPr>
      <w:tc>
        <w:tcPr>
          <w:tcW w:w="1667" w:type="pct"/>
        </w:tcPr>
        <w:p w14:paraId="1F15E985" w14:textId="77777777" w:rsidR="00410BE0" w:rsidRDefault="00410BE0">
          <w:pPr>
            <w:pStyle w:val="a3"/>
            <w:tabs>
              <w:tab w:val="clear" w:pos="4677"/>
              <w:tab w:val="clear" w:pos="9355"/>
            </w:tabs>
            <w:rPr>
              <w:color w:val="4472C4" w:themeColor="accent1"/>
            </w:rPr>
          </w:pPr>
        </w:p>
      </w:tc>
      <w:tc>
        <w:tcPr>
          <w:tcW w:w="1667" w:type="pct"/>
        </w:tcPr>
        <w:p w14:paraId="26AC4D76" w14:textId="77777777" w:rsidR="00410BE0" w:rsidRDefault="00410BE0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3B247FE9" w14:textId="77777777" w:rsidR="00410BE0" w:rsidRDefault="00410BE0">
          <w:pPr>
            <w:pStyle w:val="a3"/>
            <w:tabs>
              <w:tab w:val="clear" w:pos="4677"/>
              <w:tab w:val="clear" w:pos="9355"/>
            </w:tabs>
            <w:jc w:val="right"/>
            <w:rPr>
              <w:color w:val="4472C4" w:themeColor="accent1"/>
            </w:rPr>
          </w:pPr>
          <w:r>
            <w:rPr>
              <w:color w:val="4472C4" w:themeColor="accent1"/>
              <w:sz w:val="24"/>
              <w:szCs w:val="24"/>
            </w:rPr>
            <w:fldChar w:fldCharType="begin"/>
          </w:r>
          <w:r>
            <w:rPr>
              <w:color w:val="4472C4" w:themeColor="accent1"/>
              <w:sz w:val="24"/>
              <w:szCs w:val="24"/>
            </w:rPr>
            <w:instrText>PAGE   \* MERGEFORMAT</w:instrText>
          </w:r>
          <w:r>
            <w:rPr>
              <w:color w:val="4472C4" w:themeColor="accent1"/>
              <w:sz w:val="24"/>
              <w:szCs w:val="24"/>
            </w:rPr>
            <w:fldChar w:fldCharType="separate"/>
          </w:r>
          <w:r>
            <w:rPr>
              <w:color w:val="4472C4" w:themeColor="accent1"/>
              <w:sz w:val="24"/>
              <w:szCs w:val="24"/>
            </w:rPr>
            <w:t>0</w:t>
          </w:r>
          <w:r>
            <w:rPr>
              <w:color w:val="4472C4" w:themeColor="accent1"/>
              <w:sz w:val="24"/>
              <w:szCs w:val="24"/>
            </w:rPr>
            <w:fldChar w:fldCharType="end"/>
          </w:r>
        </w:p>
      </w:tc>
    </w:tr>
  </w:tbl>
  <w:p w14:paraId="2A870437" w14:textId="77777777" w:rsidR="00410BE0" w:rsidRDefault="00410B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75"/>
    <w:rsid w:val="00055426"/>
    <w:rsid w:val="000A3A08"/>
    <w:rsid w:val="000A45D6"/>
    <w:rsid w:val="00103605"/>
    <w:rsid w:val="00130373"/>
    <w:rsid w:val="00151B75"/>
    <w:rsid w:val="00172559"/>
    <w:rsid w:val="001C3D80"/>
    <w:rsid w:val="001D1A75"/>
    <w:rsid w:val="0028213D"/>
    <w:rsid w:val="002861C5"/>
    <w:rsid w:val="003E4458"/>
    <w:rsid w:val="00410BE0"/>
    <w:rsid w:val="004B4A39"/>
    <w:rsid w:val="0056033C"/>
    <w:rsid w:val="0062721F"/>
    <w:rsid w:val="00647865"/>
    <w:rsid w:val="007100C2"/>
    <w:rsid w:val="0071025D"/>
    <w:rsid w:val="00711438"/>
    <w:rsid w:val="00837D30"/>
    <w:rsid w:val="009313FE"/>
    <w:rsid w:val="00931FF0"/>
    <w:rsid w:val="009560D2"/>
    <w:rsid w:val="00966E3C"/>
    <w:rsid w:val="00B03DD3"/>
    <w:rsid w:val="00B07A6C"/>
    <w:rsid w:val="00B12889"/>
    <w:rsid w:val="00B453EF"/>
    <w:rsid w:val="00B55E2C"/>
    <w:rsid w:val="00B90181"/>
    <w:rsid w:val="00B9664A"/>
    <w:rsid w:val="00BC5D20"/>
    <w:rsid w:val="00E769E4"/>
    <w:rsid w:val="00F65E6F"/>
    <w:rsid w:val="00F661EC"/>
    <w:rsid w:val="00F70B83"/>
    <w:rsid w:val="00F9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6E7CA"/>
  <w15:chartTrackingRefBased/>
  <w15:docId w15:val="{E520425C-90A0-49D3-8A87-68DFBB80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0BE0"/>
  </w:style>
  <w:style w:type="paragraph" w:styleId="a5">
    <w:name w:val="footer"/>
    <w:basedOn w:val="a"/>
    <w:link w:val="a6"/>
    <w:uiPriority w:val="99"/>
    <w:unhideWhenUsed/>
    <w:rsid w:val="00410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0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Перлов</dc:creator>
  <cp:keywords/>
  <dc:description/>
  <cp:lastModifiedBy>Никита Перлов</cp:lastModifiedBy>
  <cp:revision>2</cp:revision>
  <dcterms:created xsi:type="dcterms:W3CDTF">2021-02-04T17:03:00Z</dcterms:created>
  <dcterms:modified xsi:type="dcterms:W3CDTF">2021-02-04T17:03:00Z</dcterms:modified>
</cp:coreProperties>
</file>